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D4CA" w14:textId="37381860" w:rsidR="00202A65" w:rsidRPr="00202A65" w:rsidRDefault="00202A65" w:rsidP="00202A65">
      <w:pPr>
        <w:jc w:val="center"/>
        <w:rPr>
          <w:rFonts w:ascii="Calibri" w:hAnsi="Calibri" w:cs="Calibri"/>
          <w:b/>
          <w:bCs/>
          <w:sz w:val="28"/>
          <w:szCs w:val="28"/>
        </w:rPr>
      </w:pPr>
      <w:r w:rsidRPr="00202A65">
        <w:rPr>
          <w:rFonts w:ascii="Calibri" w:hAnsi="Calibri" w:cs="Calibri"/>
          <w:b/>
          <w:bCs/>
          <w:sz w:val="28"/>
          <w:szCs w:val="28"/>
        </w:rPr>
        <w:t>ATA Szerződés</w:t>
      </w:r>
    </w:p>
    <w:p w14:paraId="0FD9F27B" w14:textId="77777777" w:rsidR="00202A65" w:rsidRPr="00202A65" w:rsidRDefault="00202A65" w:rsidP="00202A65">
      <w:pPr>
        <w:jc w:val="both"/>
        <w:rPr>
          <w:rFonts w:ascii="Calibri" w:hAnsi="Calibri" w:cs="Calibri"/>
          <w:sz w:val="22"/>
          <w:szCs w:val="22"/>
        </w:rPr>
      </w:pPr>
    </w:p>
    <w:p w14:paraId="79586301" w14:textId="336048E9" w:rsidR="00202A65" w:rsidRPr="00202A65" w:rsidRDefault="00202A65" w:rsidP="00202A65">
      <w:pPr>
        <w:jc w:val="both"/>
        <w:rPr>
          <w:rFonts w:ascii="Calibri" w:hAnsi="Calibri" w:cs="Calibri"/>
          <w:sz w:val="22"/>
          <w:szCs w:val="22"/>
        </w:rPr>
      </w:pPr>
      <w:r w:rsidRPr="00202A65">
        <w:rPr>
          <w:rFonts w:ascii="Calibri" w:hAnsi="Calibri" w:cs="Calibri"/>
          <w:sz w:val="22"/>
          <w:szCs w:val="22"/>
        </w:rPr>
        <w:t>Amely létrejött az</w:t>
      </w:r>
    </w:p>
    <w:p w14:paraId="4EDB21FC" w14:textId="64804260" w:rsidR="00202A65" w:rsidRPr="00202A65" w:rsidRDefault="00202A65" w:rsidP="00202A65">
      <w:pPr>
        <w:jc w:val="both"/>
        <w:rPr>
          <w:rFonts w:ascii="Calibri" w:hAnsi="Calibri" w:cs="Calibri"/>
          <w:sz w:val="22"/>
          <w:szCs w:val="22"/>
        </w:rPr>
      </w:pPr>
      <w:r w:rsidRPr="00202A65">
        <w:rPr>
          <w:rFonts w:ascii="Calibri" w:hAnsi="Calibri" w:cs="Calibri"/>
          <w:sz w:val="22"/>
          <w:szCs w:val="22"/>
        </w:rPr>
        <w:t>ATA tulajdonos neve: ………………………………………………………………………………</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47B3ADDE" w14:textId="433BEDBC" w:rsidR="00202A65" w:rsidRPr="00202A65" w:rsidRDefault="00202A65" w:rsidP="00202A65">
      <w:pPr>
        <w:jc w:val="both"/>
        <w:rPr>
          <w:rFonts w:ascii="Calibri" w:hAnsi="Calibri" w:cs="Calibri"/>
          <w:sz w:val="22"/>
          <w:szCs w:val="22"/>
        </w:rPr>
      </w:pPr>
      <w:r w:rsidRPr="00202A65">
        <w:rPr>
          <w:rFonts w:ascii="Calibri" w:hAnsi="Calibri" w:cs="Calibri"/>
          <w:sz w:val="22"/>
          <w:szCs w:val="22"/>
        </w:rPr>
        <w:t>címe: ………………………………………………………………………………………………….</w:t>
      </w:r>
      <w:r>
        <w:rPr>
          <w:rFonts w:ascii="Calibri" w:hAnsi="Calibri" w:cs="Calibri"/>
          <w:sz w:val="22"/>
          <w:szCs w:val="22"/>
        </w:rPr>
        <w:t xml:space="preserve"> ……………………………………………………….</w:t>
      </w:r>
    </w:p>
    <w:p w14:paraId="5321F803" w14:textId="529EC1C3" w:rsidR="00202A65" w:rsidRPr="00202A65" w:rsidRDefault="00202A65" w:rsidP="00202A65">
      <w:pPr>
        <w:jc w:val="both"/>
        <w:rPr>
          <w:rFonts w:ascii="Calibri" w:hAnsi="Calibri" w:cs="Calibri"/>
          <w:sz w:val="22"/>
          <w:szCs w:val="22"/>
        </w:rPr>
      </w:pPr>
      <w:r w:rsidRPr="00202A65">
        <w:rPr>
          <w:rFonts w:ascii="Calibri" w:hAnsi="Calibri" w:cs="Calibri"/>
          <w:sz w:val="22"/>
          <w:szCs w:val="22"/>
        </w:rPr>
        <w:t>adószáma/személyi igazolvány száma/adóazonosító száma: ………………………………………</w:t>
      </w:r>
      <w:r>
        <w:rPr>
          <w:rFonts w:ascii="Calibri" w:hAnsi="Calibri" w:cs="Calibri"/>
          <w:sz w:val="22"/>
          <w:szCs w:val="22"/>
        </w:rPr>
        <w:t>……………………………….</w:t>
      </w:r>
    </w:p>
    <w:p w14:paraId="5934672D" w14:textId="563CD390" w:rsidR="00202A65" w:rsidRPr="00202A65" w:rsidRDefault="00202A65" w:rsidP="00202A65">
      <w:pPr>
        <w:jc w:val="both"/>
        <w:rPr>
          <w:rFonts w:ascii="Calibri" w:hAnsi="Calibri" w:cs="Calibri"/>
          <w:sz w:val="22"/>
          <w:szCs w:val="22"/>
        </w:rPr>
      </w:pPr>
      <w:r w:rsidRPr="00202A65">
        <w:rPr>
          <w:rFonts w:ascii="Calibri" w:hAnsi="Calibri" w:cs="Calibri"/>
          <w:sz w:val="22"/>
          <w:szCs w:val="22"/>
        </w:rPr>
        <w:t>bankszámlaszáma: ……………………………………………………………………………………</w:t>
      </w:r>
      <w:r>
        <w:rPr>
          <w:rFonts w:ascii="Calibri" w:hAnsi="Calibri" w:cs="Calibri"/>
          <w:sz w:val="22"/>
          <w:szCs w:val="22"/>
        </w:rPr>
        <w:t>………………………………………………….</w:t>
      </w:r>
    </w:p>
    <w:p w14:paraId="4A670C41" w14:textId="5114E1F6"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mint az ATA igazolvány felhasználója, valamint a területi kereskedelmi és iparkamara, mint Kibocsátó (címe, adószáma: …, nyilvántartási száma: .., képviseli: .., a továbbiakban: Kibocsátó) és a Magyar Kereskedelmi és Iparkamara, mint Jótálló (1122 Budapest, </w:t>
      </w:r>
      <w:proofErr w:type="spellStart"/>
      <w:r w:rsidRPr="00202A65">
        <w:rPr>
          <w:rFonts w:ascii="Calibri" w:hAnsi="Calibri" w:cs="Calibri"/>
          <w:sz w:val="22"/>
          <w:szCs w:val="22"/>
        </w:rPr>
        <w:t>Pethényi</w:t>
      </w:r>
      <w:proofErr w:type="spellEnd"/>
      <w:r w:rsidRPr="00202A65">
        <w:rPr>
          <w:rFonts w:ascii="Calibri" w:hAnsi="Calibri" w:cs="Calibri"/>
          <w:sz w:val="22"/>
          <w:szCs w:val="22"/>
        </w:rPr>
        <w:t xml:space="preserve"> köz 10., adószáma: 18068265-2-43, nyilvántartási száma: 01-03-0000006, képviseli: Csókay Ákos főtitkár, a továbbiakban: Jótálló) között a Kibocsátótól az ATA tulajdonos által megigényelt ATA igazolvány, mint vámigazolvány tárgyában.</w:t>
      </w:r>
    </w:p>
    <w:p w14:paraId="70C82AAB" w14:textId="77777777" w:rsidR="00202A65" w:rsidRDefault="00202A65" w:rsidP="00202A65">
      <w:pPr>
        <w:jc w:val="both"/>
        <w:rPr>
          <w:rFonts w:ascii="Calibri" w:hAnsi="Calibri" w:cs="Calibri"/>
          <w:sz w:val="22"/>
          <w:szCs w:val="22"/>
        </w:rPr>
      </w:pPr>
    </w:p>
    <w:p w14:paraId="3E288A55" w14:textId="2CEADCE5" w:rsidR="00202A65" w:rsidRPr="00202A65" w:rsidRDefault="00202A65" w:rsidP="00202A65">
      <w:pPr>
        <w:jc w:val="both"/>
        <w:rPr>
          <w:rFonts w:ascii="Calibri" w:hAnsi="Calibri" w:cs="Calibri"/>
          <w:sz w:val="22"/>
          <w:szCs w:val="22"/>
        </w:rPr>
      </w:pPr>
      <w:r>
        <w:rPr>
          <w:rFonts w:ascii="Calibri" w:hAnsi="Calibri" w:cs="Calibri"/>
          <w:sz w:val="22"/>
          <w:szCs w:val="22"/>
        </w:rPr>
        <w:t xml:space="preserve">1. </w:t>
      </w:r>
      <w:r w:rsidRPr="00202A65">
        <w:rPr>
          <w:rFonts w:ascii="Calibri" w:hAnsi="Calibri" w:cs="Calibri"/>
          <w:sz w:val="22"/>
          <w:szCs w:val="22"/>
        </w:rPr>
        <w:t xml:space="preserve">Az ATA igazolvánnyal </w:t>
      </w:r>
      <w:r w:rsidRPr="00202A65">
        <w:rPr>
          <w:rFonts w:ascii="Calibri" w:hAnsi="Calibri" w:cs="Calibri"/>
          <w:b/>
          <w:i/>
          <w:sz w:val="22"/>
          <w:szCs w:val="22"/>
        </w:rPr>
        <w:t xml:space="preserve">kizárólag uniós származású vagy a szabad forgalom számára vámkezelt </w:t>
      </w:r>
      <w:r w:rsidRPr="00202A65">
        <w:rPr>
          <w:rFonts w:ascii="Calibri" w:hAnsi="Calibri" w:cs="Calibri"/>
          <w:sz w:val="22"/>
          <w:szCs w:val="22"/>
        </w:rPr>
        <w:t>áru szállítható külföldre.</w:t>
      </w:r>
    </w:p>
    <w:p w14:paraId="344FB439" w14:textId="77777777" w:rsidR="00202A65" w:rsidRPr="00202A65" w:rsidRDefault="00202A65" w:rsidP="00202A65">
      <w:pPr>
        <w:jc w:val="both"/>
        <w:rPr>
          <w:rFonts w:ascii="Calibri" w:hAnsi="Calibri" w:cs="Calibri"/>
          <w:sz w:val="22"/>
          <w:szCs w:val="22"/>
        </w:rPr>
      </w:pPr>
    </w:p>
    <w:p w14:paraId="70C1C446"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2. Az ATA igazolvány kifejezés a dokumentum papír alapú és elektronikus formátumára egyaránt vonatkozik.</w:t>
      </w:r>
    </w:p>
    <w:p w14:paraId="54939BE7" w14:textId="77777777" w:rsidR="00202A65" w:rsidRPr="00202A65" w:rsidRDefault="00202A65" w:rsidP="00202A65">
      <w:pPr>
        <w:jc w:val="both"/>
        <w:rPr>
          <w:rFonts w:ascii="Calibri" w:hAnsi="Calibri" w:cs="Calibri"/>
          <w:sz w:val="22"/>
          <w:szCs w:val="22"/>
        </w:rPr>
      </w:pPr>
    </w:p>
    <w:p w14:paraId="3DD0CB1A" w14:textId="455D427F" w:rsidR="00202A65" w:rsidRDefault="00202A65" w:rsidP="00202A65">
      <w:pPr>
        <w:jc w:val="both"/>
        <w:rPr>
          <w:rFonts w:ascii="Calibri" w:hAnsi="Calibri" w:cs="Calibri"/>
          <w:sz w:val="22"/>
          <w:szCs w:val="22"/>
        </w:rPr>
      </w:pPr>
      <w:r w:rsidRPr="00202A65">
        <w:rPr>
          <w:rFonts w:ascii="Calibri" w:hAnsi="Calibri" w:cs="Calibri"/>
          <w:sz w:val="22"/>
          <w:szCs w:val="22"/>
        </w:rPr>
        <w:t>3.</w:t>
      </w:r>
      <w:r>
        <w:rPr>
          <w:rFonts w:ascii="Calibri" w:hAnsi="Calibri" w:cs="Calibri"/>
          <w:sz w:val="22"/>
          <w:szCs w:val="22"/>
        </w:rPr>
        <w:t xml:space="preserve"> </w:t>
      </w:r>
      <w:r w:rsidRPr="00202A65">
        <w:rPr>
          <w:rFonts w:ascii="Calibri" w:hAnsi="Calibri" w:cs="Calibri"/>
          <w:sz w:val="22"/>
          <w:szCs w:val="22"/>
        </w:rPr>
        <w:t>A felhasználó felelősséget vállal a vámigazolványban foglalt adatok teljességéért, pontosságáért és helytállóságáért.</w:t>
      </w:r>
    </w:p>
    <w:p w14:paraId="1C49382A" w14:textId="77777777" w:rsidR="00202A65" w:rsidRPr="00202A65" w:rsidRDefault="00202A65" w:rsidP="00202A65">
      <w:pPr>
        <w:jc w:val="both"/>
        <w:rPr>
          <w:rFonts w:ascii="Calibri" w:hAnsi="Calibri" w:cs="Calibri"/>
          <w:sz w:val="22"/>
          <w:szCs w:val="22"/>
        </w:rPr>
      </w:pPr>
    </w:p>
    <w:p w14:paraId="0E0C8AA7"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4. A felhasználó tudomásul veszi, hogy az ATA igazolvány kezelését meghatalmazott is végezheti, azonban az ATA igazolvány használatáért minden esetben az ATA tulajdonosa vonható felelősségre a Kibocsátó és a vámhatóság részéről.</w:t>
      </w:r>
    </w:p>
    <w:p w14:paraId="122FD2DB" w14:textId="77777777" w:rsidR="00202A65" w:rsidRPr="00202A65" w:rsidRDefault="00202A65" w:rsidP="00202A65">
      <w:pPr>
        <w:jc w:val="both"/>
        <w:rPr>
          <w:rFonts w:ascii="Calibri" w:hAnsi="Calibri" w:cs="Calibri"/>
          <w:sz w:val="22"/>
          <w:szCs w:val="22"/>
        </w:rPr>
      </w:pPr>
    </w:p>
    <w:p w14:paraId="4FB8D926" w14:textId="039C3015" w:rsidR="00202A65" w:rsidRPr="00202A65" w:rsidRDefault="00202A65" w:rsidP="00202A65">
      <w:pPr>
        <w:jc w:val="both"/>
        <w:rPr>
          <w:rFonts w:ascii="Calibri" w:hAnsi="Calibri" w:cs="Calibri"/>
          <w:sz w:val="22"/>
          <w:szCs w:val="22"/>
        </w:rPr>
      </w:pPr>
      <w:r w:rsidRPr="00202A65">
        <w:rPr>
          <w:rFonts w:ascii="Calibri" w:hAnsi="Calibri" w:cs="Calibri"/>
          <w:sz w:val="22"/>
          <w:szCs w:val="22"/>
        </w:rPr>
        <w:t>5. A felhasználó kötelezettséget vállal arra, hogy az ATA igazolvány minden határátkelésnél bemutatásra kerül az illetékes vámhivatalnál az aktuális vámtranzakciók végrehajtása céljából és a szükséges vámbejegyzések elvégzéséhez, a felhasználó vagy meghatalmazottja által tett vámnyilatkozatok teljesek, pontosak és helytállóak, valamint a vámkezelést követően a felhasználó vagy meghatalmazottja haladéktalanul ellenőrzi az elvégzett vámtranzakciókat, vámbejegyzéseket és haladéktalanul jelzi a vámhatóságnak az esetleges eltéréseket, valamint kéri a helyesbítést.</w:t>
      </w:r>
    </w:p>
    <w:p w14:paraId="016F6C7D" w14:textId="77777777" w:rsidR="00202A65" w:rsidRPr="00202A65" w:rsidRDefault="00202A65" w:rsidP="00202A65">
      <w:pPr>
        <w:jc w:val="both"/>
        <w:rPr>
          <w:rFonts w:ascii="Calibri" w:hAnsi="Calibri" w:cs="Calibri"/>
          <w:sz w:val="22"/>
          <w:szCs w:val="22"/>
        </w:rPr>
      </w:pPr>
    </w:p>
    <w:p w14:paraId="2AA1972E" w14:textId="08EDBF02"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6. A felhasználó kötelezettséget vállal arra, hogy az ATA igazolvány fedezete mellett kivitt árut a külföldi vámhatóság részéről megállapított </w:t>
      </w:r>
      <w:proofErr w:type="spellStart"/>
      <w:r w:rsidRPr="00202A65">
        <w:rPr>
          <w:rFonts w:ascii="Calibri" w:hAnsi="Calibri" w:cs="Calibri"/>
          <w:sz w:val="22"/>
          <w:szCs w:val="22"/>
        </w:rPr>
        <w:t>újrakiviteli</w:t>
      </w:r>
      <w:proofErr w:type="spellEnd"/>
      <w:r w:rsidRPr="00202A65">
        <w:rPr>
          <w:rFonts w:ascii="Calibri" w:hAnsi="Calibri" w:cs="Calibri"/>
          <w:sz w:val="22"/>
          <w:szCs w:val="22"/>
        </w:rPr>
        <w:t xml:space="preserve"> határidőn belül a külföldi vámterületről változatlan állapotban és a külföldi vámhatóság által szabályszerűen igazolva kiviszi, illetve az ATA igazolványban megállapított </w:t>
      </w:r>
      <w:proofErr w:type="spellStart"/>
      <w:r w:rsidRPr="00202A65">
        <w:rPr>
          <w:rFonts w:ascii="Calibri" w:hAnsi="Calibri" w:cs="Calibri"/>
          <w:sz w:val="22"/>
          <w:szCs w:val="22"/>
        </w:rPr>
        <w:t>újrabehozatali</w:t>
      </w:r>
      <w:proofErr w:type="spellEnd"/>
      <w:r w:rsidRPr="00202A65">
        <w:rPr>
          <w:rFonts w:ascii="Calibri" w:hAnsi="Calibri" w:cs="Calibri"/>
          <w:sz w:val="22"/>
          <w:szCs w:val="22"/>
        </w:rPr>
        <w:t xml:space="preserve"> határidőn belül változatlan állapotban, a belföldi vámhatóság által szabályszerűen vámkezelve visszahozza Magyarország/</w:t>
      </w:r>
      <w:r w:rsidR="00892DE4">
        <w:rPr>
          <w:rFonts w:ascii="Calibri" w:hAnsi="Calibri" w:cs="Calibri"/>
          <w:sz w:val="22"/>
          <w:szCs w:val="22"/>
        </w:rPr>
        <w:t xml:space="preserve">az </w:t>
      </w:r>
      <w:r w:rsidRPr="00202A65">
        <w:rPr>
          <w:rFonts w:ascii="Calibri" w:hAnsi="Calibri" w:cs="Calibri"/>
          <w:sz w:val="22"/>
          <w:szCs w:val="22"/>
        </w:rPr>
        <w:t>Európai Unió vámterületére</w:t>
      </w:r>
      <w:r w:rsidRPr="00202A65">
        <w:rPr>
          <w:rFonts w:ascii="Calibri" w:hAnsi="Calibri" w:cs="Calibri"/>
          <w:b/>
          <w:i/>
          <w:sz w:val="22"/>
          <w:szCs w:val="22"/>
        </w:rPr>
        <w:t>.</w:t>
      </w:r>
    </w:p>
    <w:p w14:paraId="14319A27" w14:textId="77777777" w:rsidR="00202A65" w:rsidRPr="00202A65" w:rsidRDefault="00202A65" w:rsidP="00202A65">
      <w:pPr>
        <w:pStyle w:val="Listaszerbekezds"/>
        <w:ind w:left="0"/>
        <w:jc w:val="both"/>
        <w:rPr>
          <w:rFonts w:ascii="Calibri" w:hAnsi="Calibri" w:cs="Calibri"/>
          <w:sz w:val="22"/>
          <w:szCs w:val="22"/>
        </w:rPr>
      </w:pPr>
    </w:p>
    <w:p w14:paraId="4DF3925C" w14:textId="50F5076C" w:rsidR="00202A65" w:rsidRPr="00202A65" w:rsidRDefault="00202A65" w:rsidP="00202A65">
      <w:pPr>
        <w:jc w:val="both"/>
        <w:rPr>
          <w:rFonts w:ascii="Calibri" w:hAnsi="Calibri" w:cs="Calibri"/>
          <w:sz w:val="22"/>
          <w:szCs w:val="22"/>
        </w:rPr>
      </w:pPr>
      <w:r w:rsidRPr="00202A65">
        <w:rPr>
          <w:rFonts w:ascii="Calibri" w:hAnsi="Calibri" w:cs="Calibri"/>
          <w:sz w:val="22"/>
          <w:szCs w:val="22"/>
        </w:rPr>
        <w:t>7. A felhasználó vállalja, hogy</w:t>
      </w:r>
      <w:r>
        <w:rPr>
          <w:rFonts w:ascii="Calibri" w:hAnsi="Calibri" w:cs="Calibri"/>
          <w:sz w:val="22"/>
          <w:szCs w:val="22"/>
        </w:rPr>
        <w:t xml:space="preserve"> </w:t>
      </w:r>
      <w:r w:rsidRPr="00202A65">
        <w:rPr>
          <w:rFonts w:ascii="Calibri" w:hAnsi="Calibri" w:cs="Calibri"/>
          <w:sz w:val="22"/>
          <w:szCs w:val="22"/>
        </w:rPr>
        <w:t>Magyarországnak, valamint a felkeresett országoknak az importtal és exporttal kapcsolatos jogszabályi rendelkezéseit, vám-, deviza- stb. szabályait, valamint az Egyesült Nemzetek (ENSZ), az Európai Unió (EU), az Egyesült Királyság vagy az Egyesült Államok kereskedelmi vagy gazdasági szankciókra (pénzügyi és vagyoni korlátozó intézkedésekre) vonatkozó nemzetközi és nemzeti szabályozásait megtartja, és azok szerint jár el. A felhasználó kötelezettséget vállal továbbá arra, hogy tartózkodik olyan káresemények bekövetkezésétől, illetve az árut igyekszik megóvni olyan károsodástól, amely az EU, az ENSZ, vagy bármilyen más nemzetközi határozat alapján, nemzetközi, illetve nemzeti embargóellenes tevékenység/cselekmény következménye vagy azzal bármilyen módon összefüggésben van, továbbá amelyet embargós területeken okoztak vagy a kár itt következett be.</w:t>
      </w:r>
    </w:p>
    <w:p w14:paraId="1442C0DC" w14:textId="77777777" w:rsidR="00202A65" w:rsidRPr="00202A65" w:rsidRDefault="00202A65" w:rsidP="00202A65">
      <w:pPr>
        <w:pStyle w:val="Szvegtrzsbehzssal2"/>
        <w:ind w:left="0" w:firstLine="0"/>
        <w:rPr>
          <w:rFonts w:ascii="Calibri" w:hAnsi="Calibri" w:cs="Calibri"/>
          <w:szCs w:val="22"/>
        </w:rPr>
      </w:pPr>
    </w:p>
    <w:p w14:paraId="5FED633B" w14:textId="5315E545" w:rsidR="00202A65" w:rsidRPr="00202A65" w:rsidRDefault="00202A65" w:rsidP="00202A65">
      <w:pPr>
        <w:pStyle w:val="Szvegtrzsbehzssal2"/>
        <w:ind w:left="0" w:firstLine="0"/>
        <w:rPr>
          <w:rFonts w:ascii="Calibri" w:hAnsi="Calibri" w:cs="Calibri"/>
          <w:szCs w:val="22"/>
        </w:rPr>
      </w:pPr>
      <w:r>
        <w:rPr>
          <w:rFonts w:ascii="Calibri" w:hAnsi="Calibri" w:cs="Calibri"/>
          <w:szCs w:val="22"/>
        </w:rPr>
        <w:t xml:space="preserve">8. </w:t>
      </w:r>
      <w:r w:rsidRPr="00202A65">
        <w:rPr>
          <w:rFonts w:ascii="Calibri" w:hAnsi="Calibri" w:cs="Calibri"/>
          <w:szCs w:val="22"/>
        </w:rPr>
        <w:t>A felhasználó kötelezettséget vállal arra, hogy az ATA igazolvánnyal kapcsolatos kötelezettségek nem teljesítése, vagy a külföldi egyéb törvényes rendelkezések megszegése miatt az ellene indított reklamációk esetén az ATA igazolvány mentesítéséhez szükséges bizonyítékokat az erre vonatkozó felszólítás kézhezvétele után 15 napon belül a kibocsátó területi kereskedelmi és iparkamarának elküldi.</w:t>
      </w:r>
    </w:p>
    <w:p w14:paraId="3104A7D3" w14:textId="77777777" w:rsidR="00202A65" w:rsidRPr="00202A65" w:rsidRDefault="00202A65" w:rsidP="00202A65">
      <w:pPr>
        <w:jc w:val="both"/>
        <w:rPr>
          <w:rFonts w:ascii="Calibri" w:hAnsi="Calibri" w:cs="Calibri"/>
          <w:sz w:val="22"/>
          <w:szCs w:val="22"/>
        </w:rPr>
      </w:pPr>
    </w:p>
    <w:p w14:paraId="1AA717E1" w14:textId="50C6E72E" w:rsidR="00202A65" w:rsidRPr="00202A65" w:rsidRDefault="00202A65" w:rsidP="00202A65">
      <w:pPr>
        <w:jc w:val="both"/>
        <w:rPr>
          <w:rFonts w:ascii="Calibri" w:hAnsi="Calibri" w:cs="Calibri"/>
          <w:b/>
          <w:i/>
          <w:sz w:val="22"/>
          <w:szCs w:val="22"/>
        </w:rPr>
      </w:pPr>
      <w:r w:rsidRPr="00202A65">
        <w:rPr>
          <w:rFonts w:ascii="Calibri" w:hAnsi="Calibri" w:cs="Calibri"/>
          <w:sz w:val="22"/>
          <w:szCs w:val="22"/>
        </w:rPr>
        <w:t>9.  A szerződő felek tudomással bírnak arról, hogy az áruk előjegyzési eljárásban való behozatalához szükséges ATA igazolványról szóló Vámegyezmény végrehajtásáról szóló 25/2002 (XII.20) KüM rendelet 4. §-</w:t>
      </w:r>
      <w:proofErr w:type="spellStart"/>
      <w:r>
        <w:rPr>
          <w:rFonts w:ascii="Calibri" w:hAnsi="Calibri" w:cs="Calibri"/>
          <w:sz w:val="22"/>
          <w:szCs w:val="22"/>
        </w:rPr>
        <w:t>á</w:t>
      </w:r>
      <w:r w:rsidRPr="00202A65">
        <w:rPr>
          <w:rFonts w:ascii="Calibri" w:hAnsi="Calibri" w:cs="Calibri"/>
          <w:sz w:val="22"/>
          <w:szCs w:val="22"/>
        </w:rPr>
        <w:t>nak</w:t>
      </w:r>
      <w:proofErr w:type="spellEnd"/>
      <w:r w:rsidR="00226081">
        <w:rPr>
          <w:rFonts w:ascii="Calibri" w:hAnsi="Calibri" w:cs="Calibri"/>
          <w:sz w:val="22"/>
          <w:szCs w:val="22"/>
        </w:rPr>
        <w:t xml:space="preserve"> </w:t>
      </w:r>
      <w:r w:rsidRPr="00202A65">
        <w:rPr>
          <w:rFonts w:ascii="Calibri" w:hAnsi="Calibri" w:cs="Calibri"/>
          <w:sz w:val="22"/>
          <w:szCs w:val="22"/>
        </w:rPr>
        <w:t>3) bekezdése szerint a Vámegyezmény megsértése miatt a Magyar Kereskedelmi és Iparkamara által devizában fizetett vámot</w:t>
      </w:r>
      <w:r w:rsidRPr="00202A65">
        <w:rPr>
          <w:rFonts w:ascii="Calibri" w:hAnsi="Calibri" w:cs="Calibri"/>
          <w:b/>
          <w:i/>
          <w:sz w:val="22"/>
          <w:szCs w:val="22"/>
        </w:rPr>
        <w:t xml:space="preserve"> </w:t>
      </w:r>
      <w:r w:rsidRPr="00202A65">
        <w:rPr>
          <w:rFonts w:ascii="Calibri" w:hAnsi="Calibri" w:cs="Calibri"/>
          <w:i/>
          <w:sz w:val="22"/>
          <w:szCs w:val="22"/>
        </w:rPr>
        <w:t>és</w:t>
      </w:r>
      <w:r w:rsidRPr="00202A65">
        <w:rPr>
          <w:rFonts w:ascii="Calibri" w:hAnsi="Calibri" w:cs="Calibri"/>
          <w:b/>
          <w:i/>
          <w:sz w:val="22"/>
          <w:szCs w:val="22"/>
        </w:rPr>
        <w:t xml:space="preserve"> </w:t>
      </w:r>
      <w:r w:rsidRPr="00202A65">
        <w:rPr>
          <w:rFonts w:ascii="Calibri" w:hAnsi="Calibri" w:cs="Calibri"/>
          <w:sz w:val="22"/>
          <w:szCs w:val="22"/>
        </w:rPr>
        <w:t>egyéb költségeket a felhasználó köteles a Magyar Kereskedelmi és Iparkamara részére megtéríteni.</w:t>
      </w:r>
    </w:p>
    <w:p w14:paraId="174BDE7E" w14:textId="77777777" w:rsidR="00202A65" w:rsidRPr="00202A65" w:rsidRDefault="00202A65" w:rsidP="00202A65">
      <w:pPr>
        <w:jc w:val="both"/>
        <w:rPr>
          <w:rFonts w:ascii="Calibri" w:hAnsi="Calibri" w:cs="Calibri"/>
          <w:sz w:val="22"/>
          <w:szCs w:val="22"/>
        </w:rPr>
      </w:pPr>
    </w:p>
    <w:p w14:paraId="54A353C0"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10. A felhasználó tudomásul veszi, ha a 9. pontban említett fizetési kötelezettségének a Magyar Kereskedelmi és Iparkamara fizetési felszólítására a felszólítás kézhezvételétől számított 8 munkanapon belül nem tesz eleget, a területi kereskedelmi és iparkamara jogosult devizakövetelésének forint ellenértékét az ATA igazolvány tulajdonosa (felhasználója) bankszámlájának terhére benyújtott "</w:t>
      </w:r>
      <w:r w:rsidRPr="00202A65">
        <w:rPr>
          <w:rFonts w:ascii="Calibri" w:hAnsi="Calibri" w:cs="Calibri"/>
          <w:b/>
          <w:szCs w:val="22"/>
        </w:rPr>
        <w:t>azonnali beszedési megbízás</w:t>
      </w:r>
      <w:r w:rsidRPr="00202A65">
        <w:rPr>
          <w:rFonts w:ascii="Calibri" w:hAnsi="Calibri" w:cs="Calibri"/>
          <w:szCs w:val="22"/>
        </w:rPr>
        <w:t>" útján érvényesíteni.</w:t>
      </w:r>
    </w:p>
    <w:p w14:paraId="18D0CDA3" w14:textId="77777777" w:rsidR="00202A65" w:rsidRPr="00202A65" w:rsidRDefault="00202A65" w:rsidP="00202A65">
      <w:pPr>
        <w:pStyle w:val="Szvegtrzsbehzssal2"/>
        <w:tabs>
          <w:tab w:val="left" w:pos="4820"/>
        </w:tabs>
        <w:ind w:left="0" w:firstLine="0"/>
        <w:rPr>
          <w:rFonts w:ascii="Calibri" w:hAnsi="Calibri" w:cs="Calibri"/>
          <w:szCs w:val="22"/>
        </w:rPr>
      </w:pPr>
    </w:p>
    <w:p w14:paraId="1D6D9460"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rPr>
        <w:t>11. A felhasználó – a 35/2017 (XII.14.) MNB rendelet – alapján a jelen szerződés aláírásával egyidejűleg aláírt "felhatalmazó levelet" az aláírástól számított 8 napon belül köteles a bankszámláját vezető pénzintézetnek és a területi kereskedelmi és iparkamarának megküldeni.</w:t>
      </w:r>
    </w:p>
    <w:p w14:paraId="0FE1D628" w14:textId="77777777" w:rsidR="00202A65" w:rsidRPr="00202A65" w:rsidRDefault="00202A65" w:rsidP="00202A65">
      <w:pPr>
        <w:pStyle w:val="Szvegtrzsbehzssal2"/>
        <w:ind w:left="0" w:firstLine="0"/>
        <w:rPr>
          <w:rFonts w:ascii="Calibri" w:hAnsi="Calibri" w:cs="Calibri"/>
          <w:szCs w:val="22"/>
        </w:rPr>
      </w:pPr>
    </w:p>
    <w:p w14:paraId="65E1879B" w14:textId="77777777" w:rsidR="00202A65" w:rsidRPr="00202A65" w:rsidRDefault="00202A65" w:rsidP="00202A65">
      <w:pPr>
        <w:pStyle w:val="Szvegtrzsbehzssal2"/>
        <w:ind w:left="0" w:firstLine="0"/>
        <w:rPr>
          <w:rFonts w:ascii="Calibri" w:hAnsi="Calibri" w:cs="Calibri"/>
          <w:szCs w:val="22"/>
        </w:rPr>
      </w:pPr>
      <w:r w:rsidRPr="00202A65">
        <w:rPr>
          <w:rFonts w:ascii="Calibri" w:hAnsi="Calibri" w:cs="Calibri"/>
          <w:szCs w:val="22"/>
        </w:rPr>
        <w:t>12. A felhasználó tudomásul veszi, hogy a külföldi vámigazgatóságok többsége a vám- és beviteli illetékek megfizetését abban az esetben is megköveteli, ha az áruk megsemmisülnek, azokat ellopják, illetve külföldön per tárgyát képezik. Ezeket az eseményeket, valamint az árunak erőhatalom (</w:t>
      </w:r>
      <w:proofErr w:type="spellStart"/>
      <w:r w:rsidRPr="00202A65">
        <w:rPr>
          <w:rFonts w:ascii="Calibri" w:hAnsi="Calibri" w:cs="Calibri"/>
          <w:szCs w:val="22"/>
        </w:rPr>
        <w:t>vis</w:t>
      </w:r>
      <w:proofErr w:type="spellEnd"/>
      <w:r w:rsidRPr="00202A65">
        <w:rPr>
          <w:rFonts w:ascii="Calibri" w:hAnsi="Calibri" w:cs="Calibri"/>
          <w:szCs w:val="22"/>
        </w:rPr>
        <w:t xml:space="preserve"> maior) folytán beállott károsodását, illetve megsemmisülését a felhasználó a külföldi vámhatóságoknak, valamint a területi kereskedelmi és iparkamarának haladéktalanul bejelenteni és az eset körülményeit tisztázni köteles. A felhasználó vállalja, hogy a legnagyobb körültekintéssel jár el annak érdekében, hogy az ATA vámigazolvány fedezete mellett szállított árukat megóvja bárminemű károsodástól – és ezzel az ATA vámigazolvány szabálytalan használatát megelőzze –, beleértve az áruk háborús cselekmény, harci eszköz, hadianyag által okozott károsodásait, valamint az árukban forradalom, polgárháború, polgári zavargás, zendülés, háborús fosztogatás, atomrobbanás, radioaktív sugárzás, mérgezés következményeként keletkezett károkat is. Továbbá a felhasználó tudomásul veszi, hogy az árukra, illetve tárgyakra ajánlatos – lehetőleg hazai – biztosító intézetnél szállítmánybiztosítást kötni, amely biztosítás kiterjed a vámokra és egyéb költségekre is.</w:t>
      </w:r>
    </w:p>
    <w:p w14:paraId="181C45AA" w14:textId="77777777" w:rsidR="00202A65" w:rsidRPr="00202A65" w:rsidRDefault="00202A65" w:rsidP="00202A65">
      <w:pPr>
        <w:pStyle w:val="Szvegtrzsbehzssal2"/>
        <w:ind w:left="0" w:firstLine="0"/>
        <w:rPr>
          <w:rFonts w:ascii="Calibri" w:hAnsi="Calibri" w:cs="Calibri"/>
          <w:szCs w:val="22"/>
        </w:rPr>
      </w:pPr>
    </w:p>
    <w:p w14:paraId="0FA94402" w14:textId="09EF64EC" w:rsidR="00202A65" w:rsidRPr="00202A65" w:rsidRDefault="00F730F6" w:rsidP="00F730F6">
      <w:pPr>
        <w:jc w:val="both"/>
        <w:rPr>
          <w:rFonts w:ascii="Calibri" w:hAnsi="Calibri" w:cs="Calibri"/>
          <w:sz w:val="22"/>
          <w:szCs w:val="22"/>
        </w:rPr>
      </w:pPr>
      <w:r>
        <w:rPr>
          <w:rFonts w:ascii="Calibri" w:hAnsi="Calibri" w:cs="Calibri"/>
          <w:sz w:val="22"/>
          <w:szCs w:val="22"/>
        </w:rPr>
        <w:t xml:space="preserve">13. </w:t>
      </w:r>
      <w:r w:rsidR="00202A65" w:rsidRPr="00202A65">
        <w:rPr>
          <w:rFonts w:ascii="Calibri" w:hAnsi="Calibri" w:cs="Calibri"/>
          <w:sz w:val="22"/>
          <w:szCs w:val="22"/>
        </w:rPr>
        <w:t>A felhasználó kötelezettséget vállal arra, hogy a külföldi hatóságok által a vámigazolvánnyal kapcsolatos kötelezettségek nem teljesítése, vagy a külföldi egyéb jogszabályi rendelkezések esetleges megszegése miatt ellene indított eljárásról a területi kereskedelmi és iparkamarát haladéktalanul értesíti.</w:t>
      </w:r>
    </w:p>
    <w:p w14:paraId="6BA2AB82" w14:textId="77777777" w:rsidR="00202A65" w:rsidRPr="00202A65" w:rsidRDefault="00202A65" w:rsidP="00202A65">
      <w:pPr>
        <w:jc w:val="both"/>
        <w:rPr>
          <w:rFonts w:ascii="Calibri" w:hAnsi="Calibri" w:cs="Calibri"/>
          <w:sz w:val="22"/>
          <w:szCs w:val="22"/>
        </w:rPr>
      </w:pPr>
    </w:p>
    <w:p w14:paraId="5A9A8F90" w14:textId="3DEE566B"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14. A felhasználó kijelenti, hogy a 9. és 12. pontban említett esettel kapcsolatban fenntartja a maga számára a vámkivetést eszközlő vámhatósággal szemben való jogorvoslati eljárás kizárólagos jogát. A </w:t>
      </w:r>
      <w:r w:rsidR="00F730F6">
        <w:rPr>
          <w:rFonts w:ascii="Calibri" w:hAnsi="Calibri" w:cs="Calibri"/>
          <w:sz w:val="22"/>
          <w:szCs w:val="22"/>
        </w:rPr>
        <w:t xml:space="preserve">felhasználó </w:t>
      </w:r>
      <w:r w:rsidRPr="00202A65">
        <w:rPr>
          <w:rFonts w:ascii="Calibri" w:hAnsi="Calibri" w:cs="Calibri"/>
          <w:sz w:val="22"/>
          <w:szCs w:val="22"/>
        </w:rPr>
        <w:t>jogorvoslatot kezdeményez abban az esetben, ha a vámhatóság hatósági eljárása a vám kivetése, illetve a bírság megállapítása, vagy más anyagi vonatkozásban számára sérelmes. A jogorvoslat kezdeményezése nem halasztó hatályú a 9. és 1</w:t>
      </w:r>
      <w:r w:rsidR="00F730F6">
        <w:rPr>
          <w:rFonts w:ascii="Calibri" w:hAnsi="Calibri" w:cs="Calibri"/>
          <w:sz w:val="22"/>
          <w:szCs w:val="22"/>
        </w:rPr>
        <w:t>2</w:t>
      </w:r>
      <w:r w:rsidRPr="00202A65">
        <w:rPr>
          <w:rFonts w:ascii="Calibri" w:hAnsi="Calibri" w:cs="Calibri"/>
          <w:sz w:val="22"/>
          <w:szCs w:val="22"/>
        </w:rPr>
        <w:t>.</w:t>
      </w:r>
      <w:r w:rsidR="00F730F6">
        <w:rPr>
          <w:rFonts w:ascii="Calibri" w:hAnsi="Calibri" w:cs="Calibri"/>
          <w:sz w:val="22"/>
          <w:szCs w:val="22"/>
        </w:rPr>
        <w:t xml:space="preserve"> </w:t>
      </w:r>
      <w:r w:rsidRPr="00202A65">
        <w:rPr>
          <w:rFonts w:ascii="Calibri" w:hAnsi="Calibri" w:cs="Calibri"/>
          <w:sz w:val="22"/>
          <w:szCs w:val="22"/>
        </w:rPr>
        <w:t>pontban foglalt devizafizetési kötelezettség időbeni teljesítésére. A felhasználó által kezdeményezett jogorvoslatról a területi kereskedelmi és iparkamarát egyidejűleg tájékoztatja.</w:t>
      </w:r>
    </w:p>
    <w:p w14:paraId="76827288" w14:textId="77777777" w:rsidR="00202A65" w:rsidRPr="00202A65" w:rsidRDefault="00202A65" w:rsidP="00202A65">
      <w:pPr>
        <w:jc w:val="both"/>
        <w:rPr>
          <w:rFonts w:ascii="Calibri" w:hAnsi="Calibri" w:cs="Calibri"/>
          <w:sz w:val="22"/>
          <w:szCs w:val="22"/>
        </w:rPr>
      </w:pPr>
    </w:p>
    <w:p w14:paraId="0570C8D7" w14:textId="58BA3378" w:rsidR="00202A65" w:rsidRPr="00202A65" w:rsidRDefault="00202A65" w:rsidP="00202A65">
      <w:pPr>
        <w:jc w:val="both"/>
        <w:rPr>
          <w:rFonts w:ascii="Calibri" w:hAnsi="Calibri" w:cs="Calibri"/>
          <w:sz w:val="22"/>
          <w:szCs w:val="22"/>
        </w:rPr>
      </w:pPr>
      <w:r w:rsidRPr="00202A65">
        <w:rPr>
          <w:rFonts w:ascii="Calibri" w:hAnsi="Calibri" w:cs="Calibri"/>
          <w:bCs/>
          <w:iCs/>
          <w:sz w:val="22"/>
          <w:szCs w:val="22"/>
        </w:rPr>
        <w:t>15. A</w:t>
      </w:r>
      <w:r w:rsidRPr="00202A65">
        <w:rPr>
          <w:rFonts w:ascii="Calibri" w:hAnsi="Calibri" w:cs="Calibri"/>
          <w:sz w:val="22"/>
          <w:szCs w:val="22"/>
        </w:rPr>
        <w:t xml:space="preserve"> felhasználó tudomásul veszi, hogy köteles a fel nem használt ATA igazolványt</w:t>
      </w:r>
      <w:r w:rsidR="00F730F6">
        <w:rPr>
          <w:rFonts w:ascii="Calibri" w:hAnsi="Calibri" w:cs="Calibri"/>
          <w:sz w:val="22"/>
          <w:szCs w:val="22"/>
        </w:rPr>
        <w:t>,</w:t>
      </w:r>
      <w:r w:rsidRPr="00202A65">
        <w:rPr>
          <w:rFonts w:ascii="Calibri" w:hAnsi="Calibri" w:cs="Calibri"/>
          <w:sz w:val="22"/>
          <w:szCs w:val="22"/>
        </w:rPr>
        <w:t xml:space="preserve"> illetve a felhasznált – </w:t>
      </w:r>
      <w:r w:rsidRPr="00202A65">
        <w:rPr>
          <w:rFonts w:ascii="Calibri" w:hAnsi="Calibri" w:cs="Calibri"/>
          <w:i/>
          <w:sz w:val="22"/>
          <w:szCs w:val="22"/>
        </w:rPr>
        <w:t>a bel- illetve külföldi</w:t>
      </w:r>
      <w:r w:rsidRPr="00202A65">
        <w:rPr>
          <w:rFonts w:ascii="Calibri" w:hAnsi="Calibri" w:cs="Calibri"/>
          <w:sz w:val="22"/>
          <w:szCs w:val="22"/>
        </w:rPr>
        <w:t xml:space="preserve"> </w:t>
      </w:r>
      <w:r w:rsidRPr="00202A65">
        <w:rPr>
          <w:rFonts w:ascii="Calibri" w:hAnsi="Calibri" w:cs="Calibri"/>
          <w:i/>
          <w:sz w:val="22"/>
          <w:szCs w:val="22"/>
        </w:rPr>
        <w:t xml:space="preserve">vámhatóságok által szabályszerűen vámkezelt </w:t>
      </w:r>
      <w:r w:rsidRPr="00202A65">
        <w:rPr>
          <w:rFonts w:ascii="Calibri" w:hAnsi="Calibri" w:cs="Calibri"/>
          <w:sz w:val="22"/>
          <w:szCs w:val="22"/>
        </w:rPr>
        <w:t>– ATA</w:t>
      </w:r>
      <w:r w:rsidRPr="00202A65">
        <w:rPr>
          <w:rFonts w:ascii="Calibri" w:hAnsi="Calibri" w:cs="Calibri"/>
          <w:i/>
          <w:sz w:val="22"/>
          <w:szCs w:val="22"/>
        </w:rPr>
        <w:t xml:space="preserve"> </w:t>
      </w:r>
      <w:r w:rsidRPr="00202A65">
        <w:rPr>
          <w:rFonts w:ascii="Calibri" w:hAnsi="Calibri" w:cs="Calibri"/>
          <w:sz w:val="22"/>
          <w:szCs w:val="22"/>
        </w:rPr>
        <w:t xml:space="preserve">igazolványt az </w:t>
      </w:r>
      <w:r w:rsidRPr="00202A65">
        <w:rPr>
          <w:rFonts w:ascii="Calibri" w:hAnsi="Calibri" w:cs="Calibri"/>
          <w:b/>
          <w:sz w:val="22"/>
          <w:szCs w:val="22"/>
        </w:rPr>
        <w:t xml:space="preserve">indító vámhivatalnál </w:t>
      </w:r>
      <w:r w:rsidRPr="00202A65">
        <w:rPr>
          <w:rFonts w:ascii="Calibri" w:hAnsi="Calibri" w:cs="Calibri"/>
          <w:sz w:val="22"/>
          <w:szCs w:val="22"/>
        </w:rPr>
        <w:t>elszámolni és a kibocsátó kereskedelmi és iparkamarának</w:t>
      </w:r>
      <w:r w:rsidRPr="00202A65">
        <w:rPr>
          <w:rFonts w:ascii="Calibri" w:hAnsi="Calibri" w:cs="Calibri"/>
          <w:i/>
          <w:sz w:val="22"/>
          <w:szCs w:val="22"/>
        </w:rPr>
        <w:t xml:space="preserve"> – haladéktalanul, de legkésőbb a visszaszállítás időpontjától számított 15 napon belül –</w:t>
      </w:r>
      <w:r w:rsidR="00F730F6">
        <w:rPr>
          <w:rFonts w:ascii="Calibri" w:hAnsi="Calibri" w:cs="Calibri"/>
          <w:i/>
          <w:sz w:val="22"/>
          <w:szCs w:val="22"/>
        </w:rPr>
        <w:t xml:space="preserve"> </w:t>
      </w:r>
      <w:r w:rsidRPr="00202A65">
        <w:rPr>
          <w:rFonts w:ascii="Calibri" w:hAnsi="Calibri" w:cs="Calibri"/>
          <w:sz w:val="22"/>
          <w:szCs w:val="22"/>
        </w:rPr>
        <w:t>visszaszolgáltatni.</w:t>
      </w:r>
    </w:p>
    <w:p w14:paraId="52D59647" w14:textId="77777777" w:rsidR="00202A65" w:rsidRPr="00202A65" w:rsidRDefault="00202A65" w:rsidP="00202A65">
      <w:pPr>
        <w:jc w:val="both"/>
        <w:rPr>
          <w:rFonts w:ascii="Calibri" w:hAnsi="Calibri" w:cs="Calibri"/>
          <w:sz w:val="22"/>
          <w:szCs w:val="22"/>
        </w:rPr>
      </w:pPr>
    </w:p>
    <w:p w14:paraId="66F30825" w14:textId="44E99ECD" w:rsidR="00202A65" w:rsidRPr="00202A65" w:rsidRDefault="00202A65" w:rsidP="00202A65">
      <w:pPr>
        <w:jc w:val="both"/>
        <w:rPr>
          <w:rFonts w:ascii="Calibri" w:hAnsi="Calibri" w:cs="Calibri"/>
          <w:sz w:val="22"/>
          <w:szCs w:val="22"/>
        </w:rPr>
      </w:pPr>
      <w:r w:rsidRPr="00202A65">
        <w:rPr>
          <w:rFonts w:ascii="Calibri" w:hAnsi="Calibri" w:cs="Calibri"/>
          <w:sz w:val="22"/>
          <w:szCs w:val="22"/>
        </w:rPr>
        <w:t xml:space="preserve">16. A felhasználó az </w:t>
      </w:r>
      <w:r w:rsidR="00F730F6">
        <w:rPr>
          <w:rFonts w:ascii="Calibri" w:hAnsi="Calibri" w:cs="Calibri"/>
          <w:sz w:val="22"/>
          <w:szCs w:val="22"/>
        </w:rPr>
        <w:t>9</w:t>
      </w:r>
      <w:r w:rsidRPr="00202A65">
        <w:rPr>
          <w:rFonts w:ascii="Calibri" w:hAnsi="Calibri" w:cs="Calibri"/>
          <w:sz w:val="22"/>
          <w:szCs w:val="22"/>
        </w:rPr>
        <w:t>. pontban megjelölt kötelezettsége biztosítására az érvényes Okmányhitelesítési Szabályzatban meghatározott óvadékot az ATA igazolvány kiváltásakor letétbe helyezi, vagy bankgarancia formájában biztosítja, melyet az igazolványt kibocsátó kamara – a vámhatóság által szabályszerűen igazolt – ATA igazolvány visszaszolgáltatásával egyidejűleg a felhasználó részére kamatmentesen visszafizet.</w:t>
      </w:r>
    </w:p>
    <w:p w14:paraId="148C51EE" w14:textId="77777777" w:rsidR="00202A65" w:rsidRPr="00202A65" w:rsidRDefault="00202A65" w:rsidP="00202A65">
      <w:pPr>
        <w:jc w:val="both"/>
        <w:rPr>
          <w:rFonts w:ascii="Calibri" w:hAnsi="Calibri" w:cs="Calibri"/>
          <w:sz w:val="22"/>
          <w:szCs w:val="22"/>
        </w:rPr>
      </w:pPr>
    </w:p>
    <w:p w14:paraId="662FCCCF"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sz w:val="22"/>
          <w:szCs w:val="22"/>
        </w:rPr>
        <w:t xml:space="preserve">17. A felhasználó kötelezettséget vállal arra, hogy ő és az ATA igazolvány kezelésével meghatalmazott képviselője az elektronikus </w:t>
      </w:r>
      <w:r w:rsidRPr="00202A65">
        <w:rPr>
          <w:rFonts w:ascii="Calibri" w:hAnsi="Calibri" w:cs="Calibri"/>
          <w:color w:val="000000"/>
          <w:sz w:val="22"/>
          <w:szCs w:val="22"/>
        </w:rPr>
        <w:t>ATA igazolványok kezelésére és az elektronikus úton tett vámnyilatkozatok létrehozására szolgáló digitális eszközöket a vonatkozó felhasználási feltételeknek és a közzétett felhasználói útmutatóknak megfelelően használja, biztonságosan óvja az elektronikus igazolvány összes hitelesítő adatát és tranzakciós kódját, biztosítja a felhasználói fiókok megfelelő és gondos kezelését.</w:t>
      </w:r>
    </w:p>
    <w:p w14:paraId="52D107A0" w14:textId="77777777" w:rsidR="00202A65" w:rsidRPr="00202A65" w:rsidRDefault="00202A65" w:rsidP="00202A65">
      <w:pPr>
        <w:jc w:val="both"/>
        <w:rPr>
          <w:rFonts w:ascii="Calibri" w:hAnsi="Calibri" w:cs="Calibri"/>
          <w:color w:val="000000"/>
          <w:sz w:val="22"/>
          <w:szCs w:val="22"/>
        </w:rPr>
      </w:pPr>
    </w:p>
    <w:p w14:paraId="381E6A94" w14:textId="77777777"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 xml:space="preserve">18. A felhasználó tudomásul veszi, hogy az elektronikus ügyintézési szolgáltatásokban előfordulhatnak szolgáltatásmegszakítások vagy technikai hibák, melyekkel kapcsolatban vállalja, hogy megismeri az alkalmazandó tartalék eljárásokat, és sem a felhasználó, sem az ATA igazolvány kezelésével meghatalmazott </w:t>
      </w:r>
      <w:r w:rsidRPr="00202A65">
        <w:rPr>
          <w:rFonts w:ascii="Calibri" w:hAnsi="Calibri" w:cs="Calibri"/>
          <w:color w:val="000000"/>
          <w:sz w:val="22"/>
          <w:szCs w:val="22"/>
        </w:rPr>
        <w:lastRenderedPageBreak/>
        <w:t>képviselője nem vonják felelősségre a kibocsátó szervezetet vagy az elektronikus ügyintéző rendszer szolgáltatóját az ilyen szolgáltatásmegszakításokból vagy műszaki hibákból eredő késedelmekért, károkért.</w:t>
      </w:r>
    </w:p>
    <w:p w14:paraId="01EB875C" w14:textId="77777777" w:rsidR="00202A65" w:rsidRPr="00202A65" w:rsidRDefault="00202A65" w:rsidP="00202A65">
      <w:pPr>
        <w:jc w:val="both"/>
        <w:rPr>
          <w:rFonts w:ascii="Calibri" w:hAnsi="Calibri" w:cs="Calibri"/>
          <w:color w:val="000000"/>
          <w:sz w:val="22"/>
          <w:szCs w:val="22"/>
        </w:rPr>
      </w:pPr>
    </w:p>
    <w:p w14:paraId="43B494DC" w14:textId="517E099F" w:rsidR="00202A65" w:rsidRPr="00202A65" w:rsidRDefault="00202A65" w:rsidP="00202A65">
      <w:pPr>
        <w:jc w:val="both"/>
        <w:rPr>
          <w:rFonts w:ascii="Calibri" w:hAnsi="Calibri" w:cs="Calibri"/>
          <w:color w:val="000000"/>
          <w:sz w:val="22"/>
          <w:szCs w:val="22"/>
        </w:rPr>
      </w:pPr>
      <w:r w:rsidRPr="00202A65">
        <w:rPr>
          <w:rFonts w:ascii="Calibri" w:hAnsi="Calibri" w:cs="Calibri"/>
          <w:color w:val="000000"/>
          <w:sz w:val="22"/>
          <w:szCs w:val="22"/>
        </w:rPr>
        <w:t>19. A felhasználó tudomásul veszi, hogy az elektronikus igazolvány használatának alapjául szolgáló rendszer tulajdonosa az International Chamber of Commerce (Nemzetközi Kereskedelmi Kamara (ICC)), mely a digitális eszközökkel feldolgozott személyes adatok adatkezelőjeként jár el.</w:t>
      </w:r>
    </w:p>
    <w:p w14:paraId="01BF9DDC" w14:textId="77777777" w:rsidR="00202A65" w:rsidRPr="00202A65" w:rsidRDefault="00202A65" w:rsidP="00202A65">
      <w:pPr>
        <w:jc w:val="both"/>
        <w:rPr>
          <w:rFonts w:ascii="Calibri" w:hAnsi="Calibri" w:cs="Calibri"/>
          <w:color w:val="000000"/>
          <w:sz w:val="22"/>
          <w:szCs w:val="22"/>
        </w:rPr>
      </w:pPr>
    </w:p>
    <w:p w14:paraId="2F17B48D" w14:textId="776ACA08" w:rsidR="00202A65" w:rsidRPr="00202A65" w:rsidRDefault="00202A65" w:rsidP="00202A65">
      <w:pPr>
        <w:jc w:val="both"/>
        <w:rPr>
          <w:rFonts w:ascii="Calibri" w:hAnsi="Calibri" w:cs="Calibri"/>
          <w:bCs/>
          <w:color w:val="000000"/>
          <w:sz w:val="22"/>
          <w:szCs w:val="22"/>
        </w:rPr>
      </w:pPr>
      <w:r w:rsidRPr="00202A65">
        <w:rPr>
          <w:rFonts w:ascii="Calibri" w:hAnsi="Calibri" w:cs="Calibri"/>
          <w:color w:val="000000"/>
          <w:sz w:val="22"/>
          <w:szCs w:val="22"/>
        </w:rPr>
        <w:t>20. A felhasználó tudomásul veszi, hogy a</w:t>
      </w:r>
      <w:r w:rsidRPr="00202A65">
        <w:rPr>
          <w:rFonts w:ascii="Calibri" w:hAnsi="Calibri" w:cs="Calibri"/>
          <w:bCs/>
          <w:color w:val="000000"/>
          <w:sz w:val="22"/>
          <w:szCs w:val="22"/>
        </w:rPr>
        <w:t>z ATA igazolvány adatai statisztikai adatgyűjtés céljára továbbításra kerülnek a Magyar Kereskedelmi és Iparkamara és a Nemzetközi Kereskedelmi és Iparkamara (ICC) részére.</w:t>
      </w:r>
    </w:p>
    <w:p w14:paraId="3B763E79" w14:textId="77777777" w:rsidR="00202A65" w:rsidRPr="00202A65" w:rsidRDefault="00202A65" w:rsidP="00202A65">
      <w:pPr>
        <w:jc w:val="both"/>
        <w:rPr>
          <w:rFonts w:ascii="Calibri" w:hAnsi="Calibri" w:cs="Calibri"/>
          <w:bCs/>
          <w:color w:val="000000"/>
          <w:sz w:val="22"/>
          <w:szCs w:val="22"/>
        </w:rPr>
      </w:pPr>
    </w:p>
    <w:p w14:paraId="424769BF" w14:textId="5917C133" w:rsidR="00202A65" w:rsidRPr="00202A65" w:rsidRDefault="00202A65" w:rsidP="00202A65">
      <w:pPr>
        <w:jc w:val="both"/>
        <w:rPr>
          <w:rFonts w:ascii="Calibri" w:hAnsi="Calibri" w:cs="Calibri"/>
          <w:bCs/>
          <w:color w:val="000000"/>
          <w:sz w:val="22"/>
          <w:szCs w:val="22"/>
        </w:rPr>
      </w:pPr>
      <w:r w:rsidRPr="00202A65">
        <w:rPr>
          <w:rFonts w:ascii="Calibri" w:hAnsi="Calibri" w:cs="Calibri"/>
          <w:bCs/>
          <w:color w:val="000000"/>
          <w:sz w:val="22"/>
          <w:szCs w:val="22"/>
        </w:rPr>
        <w:t xml:space="preserve">21. A felhasználó tudomásul veszi, hogy az ATA rendszerben használt személyes adatok kezelésével kapcsolatos információk a Nemzetközi Kereskedelmi és Iparkamara (ICC) és a kibocsátó </w:t>
      </w:r>
      <w:r w:rsidR="00F730F6">
        <w:rPr>
          <w:rFonts w:ascii="Calibri" w:hAnsi="Calibri" w:cs="Calibri"/>
          <w:bCs/>
          <w:color w:val="000000"/>
          <w:sz w:val="22"/>
          <w:szCs w:val="22"/>
        </w:rPr>
        <w:t xml:space="preserve">területi </w:t>
      </w:r>
      <w:r w:rsidRPr="00202A65">
        <w:rPr>
          <w:rFonts w:ascii="Calibri" w:hAnsi="Calibri" w:cs="Calibri"/>
          <w:bCs/>
          <w:color w:val="000000"/>
          <w:sz w:val="22"/>
          <w:szCs w:val="22"/>
        </w:rPr>
        <w:t xml:space="preserve">kereskedelmi és </w:t>
      </w:r>
      <w:r w:rsidRPr="00202A65">
        <w:rPr>
          <w:rFonts w:ascii="Calibri" w:hAnsi="Calibri" w:cs="Calibri"/>
          <w:color w:val="000000"/>
          <w:sz w:val="22"/>
          <w:szCs w:val="22"/>
        </w:rPr>
        <w:t>iparkamarák adatvédelmi tájékoztatóiban találhatók, amely tájékoztatók időről időre frissülnek.</w:t>
      </w:r>
    </w:p>
    <w:p w14:paraId="48B08A4B" w14:textId="77777777" w:rsidR="00202A65" w:rsidRPr="00202A65" w:rsidRDefault="00202A65" w:rsidP="00202A65">
      <w:pPr>
        <w:jc w:val="both"/>
        <w:rPr>
          <w:rFonts w:ascii="Calibri" w:hAnsi="Calibri" w:cs="Calibri"/>
          <w:sz w:val="22"/>
          <w:szCs w:val="22"/>
        </w:rPr>
      </w:pPr>
      <w:r w:rsidRPr="00202A65">
        <w:rPr>
          <w:rFonts w:ascii="Calibri" w:hAnsi="Calibri" w:cs="Calibri"/>
          <w:sz w:val="22"/>
          <w:szCs w:val="22"/>
          <w:u w:val="single"/>
        </w:rPr>
        <w:t xml:space="preserve"> </w:t>
      </w:r>
      <w:r w:rsidRPr="00202A65">
        <w:rPr>
          <w:rFonts w:ascii="Calibri" w:hAnsi="Calibri" w:cs="Calibri"/>
          <w:sz w:val="22"/>
          <w:szCs w:val="22"/>
        </w:rPr>
        <w:t xml:space="preserve">  </w:t>
      </w:r>
    </w:p>
    <w:p w14:paraId="16654ECD" w14:textId="77777777" w:rsidR="0069233D" w:rsidRDefault="0069233D" w:rsidP="00202A65">
      <w:pPr>
        <w:ind w:hanging="360"/>
        <w:jc w:val="both"/>
        <w:rPr>
          <w:rFonts w:ascii="Calibri" w:hAnsi="Calibri" w:cs="Calibri"/>
          <w:sz w:val="22"/>
          <w:szCs w:val="22"/>
        </w:rPr>
      </w:pPr>
    </w:p>
    <w:p w14:paraId="37B64B25" w14:textId="4E6F1429" w:rsidR="00202A65" w:rsidRPr="00202A65" w:rsidRDefault="00202A65" w:rsidP="00202A65">
      <w:pPr>
        <w:ind w:hanging="360"/>
        <w:jc w:val="both"/>
        <w:rPr>
          <w:rFonts w:ascii="Calibri" w:hAnsi="Calibri" w:cs="Calibri"/>
          <w:sz w:val="22"/>
          <w:szCs w:val="22"/>
        </w:rPr>
      </w:pPr>
      <w:r w:rsidRPr="00202A65">
        <w:rPr>
          <w:rFonts w:ascii="Calibri" w:hAnsi="Calibri" w:cs="Calibri"/>
          <w:sz w:val="22"/>
          <w:szCs w:val="22"/>
        </w:rPr>
        <w:t>Hely, dátum: ………………………</w:t>
      </w:r>
    </w:p>
    <w:p w14:paraId="676D937F" w14:textId="77777777" w:rsidR="00202A65" w:rsidRPr="00202A65" w:rsidRDefault="00202A65" w:rsidP="00202A65">
      <w:pPr>
        <w:jc w:val="both"/>
        <w:rPr>
          <w:rFonts w:ascii="Calibri" w:hAnsi="Calibri" w:cs="Calibri"/>
          <w:sz w:val="22"/>
          <w:szCs w:val="22"/>
        </w:rPr>
      </w:pPr>
    </w:p>
    <w:tbl>
      <w:tblPr>
        <w:tblW w:w="0" w:type="auto"/>
        <w:tblInd w:w="38" w:type="dxa"/>
        <w:shd w:val="clear" w:color="auto" w:fill="FFFFFF"/>
        <w:tblLook w:val="04A0" w:firstRow="1" w:lastRow="0" w:firstColumn="1" w:lastColumn="0" w:noHBand="0" w:noVBand="1"/>
      </w:tblPr>
      <w:tblGrid>
        <w:gridCol w:w="4889"/>
        <w:gridCol w:w="4889"/>
      </w:tblGrid>
      <w:tr w:rsidR="00202A65" w:rsidRPr="00202A65" w14:paraId="33D6B81C" w14:textId="77777777" w:rsidTr="000C1DA5">
        <w:tc>
          <w:tcPr>
            <w:tcW w:w="9778" w:type="dxa"/>
            <w:gridSpan w:val="2"/>
            <w:shd w:val="clear" w:color="auto" w:fill="FFFFFF"/>
          </w:tcPr>
          <w:p w14:paraId="71C04CCB" w14:textId="77777777" w:rsidR="00202A65" w:rsidRPr="00202A65" w:rsidRDefault="00202A65" w:rsidP="00202A65">
            <w:pPr>
              <w:ind w:left="360" w:hanging="360"/>
              <w:jc w:val="center"/>
              <w:rPr>
                <w:rFonts w:ascii="Calibri" w:hAnsi="Calibri" w:cs="Calibri"/>
                <w:sz w:val="22"/>
                <w:szCs w:val="22"/>
              </w:rPr>
            </w:pPr>
          </w:p>
          <w:p w14:paraId="794F09E5" w14:textId="77777777" w:rsidR="00202A65" w:rsidRPr="00202A65" w:rsidRDefault="00202A65" w:rsidP="00202A65">
            <w:pPr>
              <w:ind w:left="360" w:hanging="360"/>
              <w:jc w:val="center"/>
              <w:rPr>
                <w:rFonts w:ascii="Calibri" w:hAnsi="Calibri" w:cs="Calibri"/>
                <w:sz w:val="22"/>
                <w:szCs w:val="22"/>
              </w:rPr>
            </w:pPr>
            <w:r w:rsidRPr="00202A65">
              <w:rPr>
                <w:rFonts w:ascii="Calibri" w:hAnsi="Calibri" w:cs="Calibri"/>
                <w:sz w:val="22"/>
                <w:szCs w:val="22"/>
              </w:rPr>
              <w:t>Csókay Ákos s.k.</w:t>
            </w:r>
          </w:p>
          <w:p w14:paraId="683B83A9" w14:textId="131B8F18"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r w:rsidR="00F730F6">
              <w:rPr>
                <w:rFonts w:ascii="Calibri" w:hAnsi="Calibri" w:cs="Calibri"/>
                <w:sz w:val="22"/>
                <w:szCs w:val="22"/>
              </w:rPr>
              <w:t>………………………………………………</w:t>
            </w:r>
          </w:p>
          <w:p w14:paraId="4E36D2C5"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Magyar Kereskedelmi és Iparkamara</w:t>
            </w:r>
          </w:p>
          <w:p w14:paraId="2840AA62" w14:textId="20BA1416" w:rsidR="00202A65" w:rsidRPr="00202A65" w:rsidRDefault="00F0306E" w:rsidP="00202A65">
            <w:pPr>
              <w:pStyle w:val="lfej"/>
              <w:tabs>
                <w:tab w:val="clear" w:pos="4819"/>
                <w:tab w:val="clear" w:pos="9071"/>
              </w:tabs>
              <w:jc w:val="center"/>
              <w:rPr>
                <w:rFonts w:ascii="Calibri" w:hAnsi="Calibri" w:cs="Calibri"/>
                <w:sz w:val="22"/>
                <w:szCs w:val="22"/>
              </w:rPr>
            </w:pPr>
            <w:r>
              <w:rPr>
                <w:rFonts w:ascii="Calibri" w:hAnsi="Calibri" w:cs="Calibri"/>
                <w:sz w:val="22"/>
                <w:szCs w:val="22"/>
              </w:rPr>
              <w:t>f</w:t>
            </w:r>
            <w:r w:rsidR="00F730F6">
              <w:rPr>
                <w:rFonts w:ascii="Calibri" w:hAnsi="Calibri" w:cs="Calibri"/>
                <w:sz w:val="22"/>
                <w:szCs w:val="22"/>
              </w:rPr>
              <w:t>őtitkár</w:t>
            </w:r>
            <w:r>
              <w:rPr>
                <w:rFonts w:ascii="Calibri" w:hAnsi="Calibri" w:cs="Calibri"/>
                <w:sz w:val="22"/>
                <w:szCs w:val="22"/>
              </w:rPr>
              <w:t>a</w:t>
            </w:r>
            <w:r w:rsidR="00F730F6">
              <w:rPr>
                <w:rFonts w:ascii="Calibri" w:hAnsi="Calibri" w:cs="Calibri"/>
                <w:sz w:val="22"/>
                <w:szCs w:val="22"/>
              </w:rPr>
              <w:t xml:space="preserve">, </w:t>
            </w:r>
            <w:r w:rsidR="00D91C32">
              <w:rPr>
                <w:rFonts w:ascii="Calibri" w:hAnsi="Calibri" w:cs="Calibri"/>
                <w:sz w:val="22"/>
                <w:szCs w:val="22"/>
              </w:rPr>
              <w:t>pénzintézetnél</w:t>
            </w:r>
            <w:r w:rsidR="00202A65" w:rsidRPr="00202A65">
              <w:rPr>
                <w:rFonts w:ascii="Calibri" w:hAnsi="Calibri" w:cs="Calibri"/>
                <w:sz w:val="22"/>
                <w:szCs w:val="22"/>
              </w:rPr>
              <w:t xml:space="preserve"> bejelentett meghatalmazott képviselője</w:t>
            </w:r>
          </w:p>
          <w:p w14:paraId="53D52AC5" w14:textId="77777777" w:rsidR="00202A65" w:rsidRPr="00202A65" w:rsidRDefault="00202A65" w:rsidP="00202A65">
            <w:pPr>
              <w:jc w:val="both"/>
              <w:rPr>
                <w:rFonts w:ascii="Calibri" w:hAnsi="Calibri" w:cs="Calibri"/>
                <w:sz w:val="22"/>
                <w:szCs w:val="22"/>
              </w:rPr>
            </w:pPr>
          </w:p>
        </w:tc>
      </w:tr>
      <w:tr w:rsidR="00202A65" w:rsidRPr="00202A65" w14:paraId="57829012" w14:textId="77777777" w:rsidTr="000C1DA5">
        <w:tc>
          <w:tcPr>
            <w:tcW w:w="4889" w:type="dxa"/>
            <w:shd w:val="clear" w:color="auto" w:fill="FFFFFF"/>
          </w:tcPr>
          <w:p w14:paraId="4F61DD44"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c>
          <w:tcPr>
            <w:tcW w:w="4889" w:type="dxa"/>
            <w:shd w:val="clear" w:color="auto" w:fill="FFFFFF"/>
          </w:tcPr>
          <w:p w14:paraId="78726466"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w:t>
            </w:r>
          </w:p>
        </w:tc>
      </w:tr>
      <w:tr w:rsidR="00202A65" w:rsidRPr="00202A65" w14:paraId="75CB2417" w14:textId="77777777" w:rsidTr="000C1DA5">
        <w:tc>
          <w:tcPr>
            <w:tcW w:w="4889" w:type="dxa"/>
            <w:shd w:val="clear" w:color="auto" w:fill="FFFFFF"/>
          </w:tcPr>
          <w:p w14:paraId="46DDD57C"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 xml:space="preserve">Területi kereskedelmi és iparkamara okmányhitelesítésre jogosult </w:t>
            </w:r>
            <w:proofErr w:type="spellStart"/>
            <w:r w:rsidRPr="00202A65">
              <w:rPr>
                <w:rFonts w:ascii="Calibri" w:hAnsi="Calibri" w:cs="Calibri"/>
                <w:sz w:val="22"/>
                <w:szCs w:val="22"/>
              </w:rPr>
              <w:t>kiadmányozója</w:t>
            </w:r>
            <w:proofErr w:type="spellEnd"/>
          </w:p>
        </w:tc>
        <w:tc>
          <w:tcPr>
            <w:tcW w:w="4889" w:type="dxa"/>
            <w:shd w:val="clear" w:color="auto" w:fill="FFFFFF"/>
          </w:tcPr>
          <w:p w14:paraId="4753D2CF" w14:textId="77777777" w:rsidR="00202A65" w:rsidRPr="00202A65" w:rsidRDefault="00202A65" w:rsidP="00202A65">
            <w:pPr>
              <w:jc w:val="center"/>
              <w:rPr>
                <w:rFonts w:ascii="Calibri" w:hAnsi="Calibri" w:cs="Calibri"/>
                <w:sz w:val="22"/>
                <w:szCs w:val="22"/>
              </w:rPr>
            </w:pPr>
            <w:r w:rsidRPr="00202A65">
              <w:rPr>
                <w:rFonts w:ascii="Calibri" w:hAnsi="Calibri" w:cs="Calibri"/>
                <w:sz w:val="22"/>
                <w:szCs w:val="22"/>
              </w:rPr>
              <w:t>ATA tulajdonos cégszerű aláírása / aláírása</w:t>
            </w:r>
          </w:p>
        </w:tc>
      </w:tr>
    </w:tbl>
    <w:p w14:paraId="0D347ED8" w14:textId="77777777" w:rsidR="00202A65" w:rsidRPr="00202A65" w:rsidRDefault="00202A65" w:rsidP="00202A65">
      <w:pPr>
        <w:jc w:val="both"/>
        <w:rPr>
          <w:rFonts w:ascii="Calibri" w:hAnsi="Calibri" w:cs="Calibri"/>
          <w:sz w:val="22"/>
          <w:szCs w:val="22"/>
        </w:rPr>
      </w:pPr>
    </w:p>
    <w:p w14:paraId="31F2DAF1" w14:textId="1755F1B0" w:rsidR="00202A65" w:rsidRPr="00202A65" w:rsidRDefault="00202A65" w:rsidP="00202A65">
      <w:pPr>
        <w:jc w:val="both"/>
        <w:rPr>
          <w:rFonts w:ascii="Calibri" w:hAnsi="Calibri" w:cs="Calibri"/>
          <w:sz w:val="22"/>
          <w:szCs w:val="22"/>
        </w:rPr>
      </w:pPr>
      <w:r w:rsidRPr="00202A65">
        <w:rPr>
          <w:rFonts w:ascii="Calibri" w:hAnsi="Calibri" w:cs="Calibri"/>
          <w:sz w:val="22"/>
          <w:szCs w:val="22"/>
        </w:rPr>
        <w:tab/>
      </w:r>
      <w:r w:rsidR="00F730F6">
        <w:rPr>
          <w:rFonts w:ascii="Calibri" w:hAnsi="Calibri" w:cs="Calibri"/>
          <w:sz w:val="22"/>
          <w:szCs w:val="22"/>
        </w:rPr>
        <w:t xml:space="preserve">, </w:t>
      </w:r>
    </w:p>
    <w:p w14:paraId="1EFD311D" w14:textId="77777777" w:rsidR="008C5561" w:rsidRPr="00202A65" w:rsidRDefault="008C5561" w:rsidP="00202A65">
      <w:pPr>
        <w:rPr>
          <w:rFonts w:ascii="Calibri" w:hAnsi="Calibri" w:cs="Calibri"/>
          <w:sz w:val="22"/>
          <w:szCs w:val="22"/>
        </w:rPr>
      </w:pPr>
    </w:p>
    <w:sectPr w:rsidR="008C5561" w:rsidRPr="00202A65" w:rsidSect="00202A65">
      <w:footerReference w:type="even" r:id="rId7"/>
      <w:footerReference w:type="default" r:id="rId8"/>
      <w:pgSz w:w="11906" w:h="16838"/>
      <w:pgMar w:top="567" w:right="737"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7529" w14:textId="77777777" w:rsidR="001D1DAF" w:rsidRDefault="001D1DAF" w:rsidP="00856284">
      <w:r>
        <w:separator/>
      </w:r>
    </w:p>
  </w:endnote>
  <w:endnote w:type="continuationSeparator" w:id="0">
    <w:p w14:paraId="4FC2EE59" w14:textId="77777777" w:rsidR="001D1DAF" w:rsidRDefault="001D1DAF" w:rsidP="008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CB9E" w14:textId="77777777" w:rsidR="00202A65" w:rsidRDefault="00202A65">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14:paraId="2BA24B42" w14:textId="77777777" w:rsidR="00202A65" w:rsidRDefault="00202A65">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7271" w14:textId="77777777" w:rsidR="00202A65" w:rsidRDefault="00202A65">
    <w:pPr>
      <w:pStyle w:val="llb"/>
      <w:jc w:val="center"/>
    </w:pPr>
    <w:r>
      <w:fldChar w:fldCharType="begin"/>
    </w:r>
    <w:r>
      <w:instrText>PAGE   \* MERGEFORMAT</w:instrText>
    </w:r>
    <w:r>
      <w:fldChar w:fldCharType="separate"/>
    </w:r>
    <w:r>
      <w:t>2</w:t>
    </w:r>
    <w:r>
      <w:fldChar w:fldCharType="end"/>
    </w:r>
  </w:p>
  <w:p w14:paraId="14784061" w14:textId="77777777" w:rsidR="00202A65" w:rsidRDefault="00202A65">
    <w:pPr>
      <w:pStyle w:val="ll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EF96" w14:textId="77777777" w:rsidR="001D1DAF" w:rsidRDefault="001D1DAF" w:rsidP="00856284">
      <w:r>
        <w:separator/>
      </w:r>
    </w:p>
  </w:footnote>
  <w:footnote w:type="continuationSeparator" w:id="0">
    <w:p w14:paraId="28215A25" w14:textId="77777777" w:rsidR="001D1DAF" w:rsidRDefault="001D1DAF" w:rsidP="008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958"/>
    <w:multiLevelType w:val="hybridMultilevel"/>
    <w:tmpl w:val="1E5879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975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65"/>
    <w:rsid w:val="001763D0"/>
    <w:rsid w:val="001D1DAF"/>
    <w:rsid w:val="00202A65"/>
    <w:rsid w:val="00226081"/>
    <w:rsid w:val="002C17B4"/>
    <w:rsid w:val="00334D59"/>
    <w:rsid w:val="004A4700"/>
    <w:rsid w:val="00521F78"/>
    <w:rsid w:val="00523007"/>
    <w:rsid w:val="005719C9"/>
    <w:rsid w:val="005D14D8"/>
    <w:rsid w:val="0069233D"/>
    <w:rsid w:val="00711629"/>
    <w:rsid w:val="007F1F32"/>
    <w:rsid w:val="00856284"/>
    <w:rsid w:val="00892DE4"/>
    <w:rsid w:val="008A5F29"/>
    <w:rsid w:val="008C5561"/>
    <w:rsid w:val="00900F94"/>
    <w:rsid w:val="00976066"/>
    <w:rsid w:val="00A12BE4"/>
    <w:rsid w:val="00C31577"/>
    <w:rsid w:val="00C936CC"/>
    <w:rsid w:val="00D91C32"/>
    <w:rsid w:val="00EA2D10"/>
    <w:rsid w:val="00F0306E"/>
    <w:rsid w:val="00F25EDF"/>
    <w:rsid w:val="00F730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074D"/>
  <w15:chartTrackingRefBased/>
  <w15:docId w15:val="{2FB83B42-F9FE-4FCA-91A3-720011A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2A65"/>
    <w:pPr>
      <w:spacing w:after="0" w:line="240" w:lineRule="auto"/>
    </w:pPr>
    <w:rPr>
      <w:rFonts w:ascii="Times New Roman" w:eastAsia="Times New Roman" w:hAnsi="Times New Roman" w:cs="Times New Roman"/>
      <w:kern w:val="0"/>
      <w:szCs w:val="20"/>
      <w:lang w:eastAsia="hu-HU"/>
      <w14:ligatures w14:val="none"/>
    </w:rPr>
  </w:style>
  <w:style w:type="paragraph" w:styleId="Cmsor1">
    <w:name w:val="heading 1"/>
    <w:basedOn w:val="Norml"/>
    <w:next w:val="Norml"/>
    <w:link w:val="Cmsor1Char"/>
    <w:uiPriority w:val="9"/>
    <w:qFormat/>
    <w:rsid w:val="0020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0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02A6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02A6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02A6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02A6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02A6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02A6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02A6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02A6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02A6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02A6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02A6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02A6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02A6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02A6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02A6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02A65"/>
    <w:rPr>
      <w:rFonts w:eastAsiaTheme="majorEastAsia" w:cstheme="majorBidi"/>
      <w:color w:val="272727" w:themeColor="text1" w:themeTint="D8"/>
    </w:rPr>
  </w:style>
  <w:style w:type="paragraph" w:styleId="Cm">
    <w:name w:val="Title"/>
    <w:basedOn w:val="Norml"/>
    <w:next w:val="Norml"/>
    <w:link w:val="CmChar"/>
    <w:uiPriority w:val="10"/>
    <w:qFormat/>
    <w:rsid w:val="00202A6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02A6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02A6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02A6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02A65"/>
    <w:pPr>
      <w:spacing w:before="160"/>
      <w:jc w:val="center"/>
    </w:pPr>
    <w:rPr>
      <w:i/>
      <w:iCs/>
      <w:color w:val="404040" w:themeColor="text1" w:themeTint="BF"/>
    </w:rPr>
  </w:style>
  <w:style w:type="character" w:customStyle="1" w:styleId="IdzetChar">
    <w:name w:val="Idézet Char"/>
    <w:basedOn w:val="Bekezdsalapbettpusa"/>
    <w:link w:val="Idzet"/>
    <w:uiPriority w:val="29"/>
    <w:rsid w:val="00202A65"/>
    <w:rPr>
      <w:i/>
      <w:iCs/>
      <w:color w:val="404040" w:themeColor="text1" w:themeTint="BF"/>
    </w:rPr>
  </w:style>
  <w:style w:type="paragraph" w:styleId="Listaszerbekezds">
    <w:name w:val="List Paragraph"/>
    <w:basedOn w:val="Norml"/>
    <w:uiPriority w:val="34"/>
    <w:qFormat/>
    <w:rsid w:val="00202A65"/>
    <w:pPr>
      <w:ind w:left="720"/>
      <w:contextualSpacing/>
    </w:pPr>
  </w:style>
  <w:style w:type="character" w:styleId="Erskiemels">
    <w:name w:val="Intense Emphasis"/>
    <w:basedOn w:val="Bekezdsalapbettpusa"/>
    <w:uiPriority w:val="21"/>
    <w:qFormat/>
    <w:rsid w:val="00202A65"/>
    <w:rPr>
      <w:i/>
      <w:iCs/>
      <w:color w:val="0F4761" w:themeColor="accent1" w:themeShade="BF"/>
    </w:rPr>
  </w:style>
  <w:style w:type="paragraph" w:styleId="Kiemeltidzet">
    <w:name w:val="Intense Quote"/>
    <w:basedOn w:val="Norml"/>
    <w:next w:val="Norml"/>
    <w:link w:val="KiemeltidzetChar"/>
    <w:uiPriority w:val="30"/>
    <w:qFormat/>
    <w:rsid w:val="0020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02A65"/>
    <w:rPr>
      <w:i/>
      <w:iCs/>
      <w:color w:val="0F4761" w:themeColor="accent1" w:themeShade="BF"/>
    </w:rPr>
  </w:style>
  <w:style w:type="character" w:styleId="Ershivatkozs">
    <w:name w:val="Intense Reference"/>
    <w:basedOn w:val="Bekezdsalapbettpusa"/>
    <w:uiPriority w:val="32"/>
    <w:qFormat/>
    <w:rsid w:val="00202A65"/>
    <w:rPr>
      <w:b/>
      <w:bCs/>
      <w:smallCaps/>
      <w:color w:val="0F4761" w:themeColor="accent1" w:themeShade="BF"/>
      <w:spacing w:val="5"/>
    </w:rPr>
  </w:style>
  <w:style w:type="paragraph" w:styleId="lfej">
    <w:name w:val="header"/>
    <w:basedOn w:val="Norml"/>
    <w:link w:val="lfejChar"/>
    <w:rsid w:val="00202A65"/>
    <w:pPr>
      <w:tabs>
        <w:tab w:val="center" w:pos="4819"/>
        <w:tab w:val="right" w:pos="9071"/>
      </w:tabs>
    </w:pPr>
  </w:style>
  <w:style w:type="character" w:customStyle="1" w:styleId="lfejChar">
    <w:name w:val="Élőfej Char"/>
    <w:basedOn w:val="Bekezdsalapbettpusa"/>
    <w:link w:val="lfej"/>
    <w:rsid w:val="00202A65"/>
    <w:rPr>
      <w:rFonts w:ascii="Times New Roman" w:eastAsia="Times New Roman" w:hAnsi="Times New Roman" w:cs="Times New Roman"/>
      <w:kern w:val="0"/>
      <w:szCs w:val="20"/>
      <w:lang w:eastAsia="hu-HU"/>
      <w14:ligatures w14:val="none"/>
    </w:rPr>
  </w:style>
  <w:style w:type="paragraph" w:styleId="Szvegtrzsbehzssal2">
    <w:name w:val="Body Text Indent 2"/>
    <w:basedOn w:val="Norml"/>
    <w:link w:val="Szvegtrzsbehzssal2Char"/>
    <w:rsid w:val="00202A65"/>
    <w:pPr>
      <w:ind w:left="360" w:hanging="360"/>
      <w:jc w:val="both"/>
    </w:pPr>
    <w:rPr>
      <w:sz w:val="22"/>
    </w:rPr>
  </w:style>
  <w:style w:type="character" w:customStyle="1" w:styleId="Szvegtrzsbehzssal2Char">
    <w:name w:val="Szövegtörzs behúzással 2 Char"/>
    <w:basedOn w:val="Bekezdsalapbettpusa"/>
    <w:link w:val="Szvegtrzsbehzssal2"/>
    <w:rsid w:val="00202A65"/>
    <w:rPr>
      <w:rFonts w:ascii="Times New Roman" w:eastAsia="Times New Roman" w:hAnsi="Times New Roman" w:cs="Times New Roman"/>
      <w:kern w:val="0"/>
      <w:sz w:val="22"/>
      <w:szCs w:val="20"/>
      <w:lang w:eastAsia="hu-HU"/>
      <w14:ligatures w14:val="none"/>
    </w:rPr>
  </w:style>
  <w:style w:type="paragraph" w:styleId="llb">
    <w:name w:val="footer"/>
    <w:basedOn w:val="Norml"/>
    <w:link w:val="llbChar"/>
    <w:uiPriority w:val="99"/>
    <w:rsid w:val="00202A65"/>
    <w:pPr>
      <w:tabs>
        <w:tab w:val="center" w:pos="4536"/>
        <w:tab w:val="right" w:pos="9072"/>
      </w:tabs>
    </w:pPr>
  </w:style>
  <w:style w:type="character" w:customStyle="1" w:styleId="llbChar">
    <w:name w:val="Élőláb Char"/>
    <w:basedOn w:val="Bekezdsalapbettpusa"/>
    <w:link w:val="llb"/>
    <w:uiPriority w:val="99"/>
    <w:rsid w:val="00202A65"/>
    <w:rPr>
      <w:rFonts w:ascii="Times New Roman" w:eastAsia="Times New Roman" w:hAnsi="Times New Roman" w:cs="Times New Roman"/>
      <w:kern w:val="0"/>
      <w:szCs w:val="20"/>
      <w:lang w:eastAsia="hu-HU"/>
      <w14:ligatures w14:val="none"/>
    </w:rPr>
  </w:style>
  <w:style w:type="character" w:styleId="Oldalszm">
    <w:name w:val="page number"/>
    <w:basedOn w:val="Bekezdsalapbettpusa"/>
    <w:rsid w:val="00202A65"/>
  </w:style>
  <w:style w:type="character" w:styleId="Jegyzethivatkozs">
    <w:name w:val="annotation reference"/>
    <w:uiPriority w:val="99"/>
    <w:semiHidden/>
    <w:unhideWhenUsed/>
    <w:rsid w:val="00202A65"/>
    <w:rPr>
      <w:sz w:val="16"/>
      <w:szCs w:val="16"/>
    </w:rPr>
  </w:style>
  <w:style w:type="paragraph" w:styleId="Jegyzetszveg">
    <w:name w:val="annotation text"/>
    <w:basedOn w:val="Norml"/>
    <w:link w:val="JegyzetszvegChar"/>
    <w:uiPriority w:val="99"/>
    <w:unhideWhenUsed/>
    <w:rsid w:val="00202A65"/>
    <w:rPr>
      <w:sz w:val="20"/>
    </w:rPr>
  </w:style>
  <w:style w:type="character" w:customStyle="1" w:styleId="JegyzetszvegChar">
    <w:name w:val="Jegyzetszöveg Char"/>
    <w:basedOn w:val="Bekezdsalapbettpusa"/>
    <w:link w:val="Jegyzetszveg"/>
    <w:uiPriority w:val="99"/>
    <w:rsid w:val="00202A65"/>
    <w:rPr>
      <w:rFonts w:ascii="Times New Roman" w:eastAsia="Times New Roman" w:hAnsi="Times New Roman" w:cs="Times New Roman"/>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1276</Words>
  <Characters>8812</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Hajnalka</dc:creator>
  <cp:keywords/>
  <dc:description/>
  <cp:lastModifiedBy>Szabó Hajnalka</cp:lastModifiedBy>
  <cp:revision>16</cp:revision>
  <dcterms:created xsi:type="dcterms:W3CDTF">2026-05-27T13:07:00Z</dcterms:created>
  <dcterms:modified xsi:type="dcterms:W3CDTF">2026-05-27T13:40:00Z</dcterms:modified>
</cp:coreProperties>
</file>